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803E6" w14:textId="77777777" w:rsidR="00DD43DE" w:rsidRPr="00DD43DE" w:rsidRDefault="00DD43DE" w:rsidP="00DD43DE">
      <w:pPr>
        <w:pStyle w:val="isselectedend"/>
        <w:rPr>
          <w:rFonts w:ascii="Arial" w:hAnsi="Arial" w:cs="Arial"/>
          <w:sz w:val="28"/>
          <w:szCs w:val="28"/>
        </w:rPr>
      </w:pPr>
      <w:r w:rsidRPr="00DD43DE">
        <w:rPr>
          <w:rFonts w:ascii="Arial" w:hAnsi="Arial" w:cs="Arial"/>
          <w:sz w:val="28"/>
          <w:szCs w:val="28"/>
        </w:rPr>
        <w:t xml:space="preserve">Dear </w:t>
      </w:r>
      <w:r w:rsidRPr="00DD43DE">
        <w:rPr>
          <w:rStyle w:val="text-token-text-primary"/>
          <w:rFonts w:ascii="Arial" w:eastAsiaTheme="majorEastAsia" w:hAnsi="Arial" w:cs="Arial"/>
          <w:sz w:val="28"/>
          <w:szCs w:val="28"/>
        </w:rPr>
        <w:t>[MP Name]</w:t>
      </w:r>
      <w:r w:rsidRPr="00DD43DE">
        <w:rPr>
          <w:rFonts w:ascii="Arial" w:hAnsi="Arial" w:cs="Arial"/>
          <w:sz w:val="28"/>
          <w:szCs w:val="28"/>
        </w:rPr>
        <w:t>,</w:t>
      </w:r>
    </w:p>
    <w:p w14:paraId="5BAA6386" w14:textId="77777777" w:rsidR="00DD43DE" w:rsidRPr="00DD43DE" w:rsidRDefault="00DD43DE" w:rsidP="00DD43DE">
      <w:pPr>
        <w:pStyle w:val="isselectedend"/>
        <w:rPr>
          <w:rFonts w:ascii="Arial" w:hAnsi="Arial" w:cs="Arial"/>
          <w:sz w:val="28"/>
          <w:szCs w:val="28"/>
        </w:rPr>
      </w:pPr>
      <w:r w:rsidRPr="00DD43DE">
        <w:rPr>
          <w:rFonts w:ascii="Arial" w:hAnsi="Arial" w:cs="Arial"/>
          <w:sz w:val="28"/>
          <w:szCs w:val="28"/>
        </w:rPr>
        <w:t>I am writing as a constituent to place an urgent warning on the record.</w:t>
      </w:r>
    </w:p>
    <w:p w14:paraId="32B8E4C5" w14:textId="77777777" w:rsidR="00DD43DE" w:rsidRPr="00DD43DE" w:rsidRDefault="00DD43DE" w:rsidP="00DD43DE">
      <w:pPr>
        <w:pStyle w:val="isselectedend"/>
        <w:rPr>
          <w:rFonts w:ascii="Arial" w:hAnsi="Arial" w:cs="Arial"/>
          <w:sz w:val="28"/>
          <w:szCs w:val="28"/>
        </w:rPr>
      </w:pPr>
      <w:r w:rsidRPr="00DD43DE">
        <w:rPr>
          <w:rFonts w:ascii="Arial" w:hAnsi="Arial" w:cs="Arial"/>
          <w:sz w:val="28"/>
          <w:szCs w:val="28"/>
        </w:rPr>
        <w:t>APGAW has launched the “Innate Health Assessment (IHA)” — a 10-point visual checklist targeting “extreme physical characteristics” in dogs. It is being framed as “voluntary”. In practice, that word is increasingly meaningless: “voluntary” tools often become coercive through guidance creep, licensing/inspection practice, procurement/insurance conditions, tenancy exclusions and local authority enforcement norms — without Parliament ever voting on a ban.</w:t>
      </w:r>
    </w:p>
    <w:p w14:paraId="7A2D3247" w14:textId="77777777" w:rsidR="00DD43DE" w:rsidRPr="00DD43DE" w:rsidRDefault="00DD43DE" w:rsidP="00DD43DE">
      <w:pPr>
        <w:pStyle w:val="isselectedend"/>
        <w:rPr>
          <w:rFonts w:ascii="Arial" w:hAnsi="Arial" w:cs="Arial"/>
          <w:sz w:val="28"/>
          <w:szCs w:val="28"/>
        </w:rPr>
      </w:pPr>
      <w:r w:rsidRPr="00DD43DE">
        <w:rPr>
          <w:rFonts w:ascii="Arial" w:hAnsi="Arial" w:cs="Arial"/>
          <w:sz w:val="28"/>
          <w:szCs w:val="28"/>
        </w:rPr>
        <w:t>I do not accept the premise of a “voluntary conformation checklist” as a governance tool at all. Animal welfare is a clinical matter. If a dog is unwell, in pain, or at risk, that is for a qualified veterinary professional to assess and for the owner to address through treatment and responsible decisions. A political/administrative checklist is not a substitute for veterinary judgement, and it must not be allowed to become a quasi-standard adopted by councils, inspectors, insurers, landlords, licensing schemes or procurement rules.</w:t>
      </w:r>
    </w:p>
    <w:p w14:paraId="32EED065" w14:textId="77777777" w:rsidR="00DD43DE" w:rsidRPr="00DD43DE" w:rsidRDefault="00DD43DE" w:rsidP="00DD43DE">
      <w:pPr>
        <w:pStyle w:val="isselectedend"/>
        <w:rPr>
          <w:rFonts w:ascii="Arial" w:hAnsi="Arial" w:cs="Arial"/>
          <w:sz w:val="28"/>
          <w:szCs w:val="28"/>
        </w:rPr>
      </w:pPr>
      <w:r w:rsidRPr="00DD43DE">
        <w:rPr>
          <w:rFonts w:ascii="Arial" w:hAnsi="Arial" w:cs="Arial"/>
          <w:sz w:val="28"/>
          <w:szCs w:val="28"/>
        </w:rPr>
        <w:t xml:space="preserve">Be clear what the public risk is in real terms: </w:t>
      </w:r>
      <w:r w:rsidRPr="00DD43DE">
        <w:rPr>
          <w:rStyle w:val="Strong"/>
          <w:rFonts w:ascii="Arial" w:eastAsiaTheme="majorEastAsia" w:hAnsi="Arial" w:cs="Arial"/>
          <w:sz w:val="28"/>
          <w:szCs w:val="28"/>
        </w:rPr>
        <w:t>breed erasure by proxy</w:t>
      </w:r>
      <w:r w:rsidRPr="00DD43DE">
        <w:rPr>
          <w:rFonts w:ascii="Arial" w:hAnsi="Arial" w:cs="Arial"/>
          <w:sz w:val="28"/>
          <w:szCs w:val="28"/>
        </w:rPr>
        <w:t>. If a subjective checklist becomes an enforcement threshold, whole categories of lawful dogs can be made effectively impossible to breed, own, insure, rent with, or keep — not because Parliament openly banned them, but because administrative systems treat a “voluntary” tool as a pass/fail rule.</w:t>
      </w:r>
    </w:p>
    <w:p w14:paraId="0EBD7D40" w14:textId="77777777" w:rsidR="00DD43DE" w:rsidRPr="00DD43DE" w:rsidRDefault="00DD43DE" w:rsidP="00DD43DE">
      <w:pPr>
        <w:pStyle w:val="isselectedend"/>
        <w:rPr>
          <w:rFonts w:ascii="Arial" w:hAnsi="Arial" w:cs="Arial"/>
          <w:sz w:val="28"/>
          <w:szCs w:val="28"/>
        </w:rPr>
      </w:pPr>
      <w:r w:rsidRPr="00DD43DE">
        <w:rPr>
          <w:rFonts w:ascii="Arial" w:hAnsi="Arial" w:cs="Arial"/>
          <w:sz w:val="28"/>
          <w:szCs w:val="28"/>
        </w:rPr>
        <w:t>This risk is magnified by the shift toward larger unitary / combined-authority governance. When decision-making and enforcement guidance are concentrated into fewer, larger bodies, “voluntary” tools can be standardised quickly through licensing and enforcement practice with fewer local checks. Even without Parliament legislating a ban, administrative adoption can produce the same outcome in practice—without a vote.</w:t>
      </w:r>
    </w:p>
    <w:p w14:paraId="167AA977" w14:textId="77777777" w:rsidR="00DD43DE" w:rsidRPr="00DD43DE" w:rsidRDefault="00DD43DE" w:rsidP="00DD43DE">
      <w:pPr>
        <w:pStyle w:val="isselectedend"/>
        <w:rPr>
          <w:rFonts w:ascii="Arial" w:hAnsi="Arial" w:cs="Arial"/>
          <w:sz w:val="28"/>
          <w:szCs w:val="28"/>
        </w:rPr>
      </w:pPr>
      <w:r w:rsidRPr="00DD43DE">
        <w:rPr>
          <w:rFonts w:ascii="Arial" w:hAnsi="Arial" w:cs="Arial"/>
          <w:sz w:val="28"/>
          <w:szCs w:val="28"/>
        </w:rPr>
        <w:t>I ask you to do three concrete things:</w:t>
      </w:r>
    </w:p>
    <w:p w14:paraId="7AC3E9F5" w14:textId="77777777" w:rsidR="00DD43DE" w:rsidRPr="00DD43DE" w:rsidRDefault="00DD43DE" w:rsidP="00DD43DE">
      <w:pPr>
        <w:pStyle w:val="isselectedend"/>
        <w:numPr>
          <w:ilvl w:val="0"/>
          <w:numId w:val="1"/>
        </w:numPr>
        <w:rPr>
          <w:rFonts w:ascii="Arial" w:hAnsi="Arial" w:cs="Arial"/>
          <w:sz w:val="28"/>
          <w:szCs w:val="28"/>
        </w:rPr>
      </w:pPr>
      <w:r w:rsidRPr="00DD43DE">
        <w:rPr>
          <w:rFonts w:ascii="Arial" w:hAnsi="Arial" w:cs="Arial"/>
          <w:sz w:val="28"/>
          <w:szCs w:val="28"/>
        </w:rPr>
        <w:t>Put a Parliamentary Question to DEFRA asking whether Government intends to adopt, endorse, fund, promote, or reference the IHA (or any similar checklist) in any guidance, licensing, inspection, procurement, insurance, tenancy or enforcement context.</w:t>
      </w:r>
    </w:p>
    <w:p w14:paraId="48F350E4" w14:textId="77777777" w:rsidR="00DD43DE" w:rsidRPr="00DD43DE" w:rsidRDefault="00DD43DE" w:rsidP="00DD43DE">
      <w:pPr>
        <w:pStyle w:val="isselectedend"/>
        <w:numPr>
          <w:ilvl w:val="0"/>
          <w:numId w:val="1"/>
        </w:numPr>
        <w:rPr>
          <w:rFonts w:ascii="Arial" w:hAnsi="Arial" w:cs="Arial"/>
          <w:sz w:val="28"/>
          <w:szCs w:val="28"/>
        </w:rPr>
      </w:pPr>
      <w:r w:rsidRPr="00DD43DE">
        <w:rPr>
          <w:rFonts w:ascii="Arial" w:hAnsi="Arial" w:cs="Arial"/>
          <w:sz w:val="28"/>
          <w:szCs w:val="28"/>
        </w:rPr>
        <w:lastRenderedPageBreak/>
        <w:t>Demand a red-line safeguard: require DEFRA to state in writing that the IHA cannot be used as a licensing threshold or enforcement proxy, and that no restriction, penalty, seizure decision or exclusion practice may rely on a subjective checklist without veterinary diagnosis, transparent criteria and a right of appeal.</w:t>
      </w:r>
    </w:p>
    <w:p w14:paraId="39732274" w14:textId="77777777" w:rsidR="00DD43DE" w:rsidRPr="00DD43DE" w:rsidRDefault="00DD43DE" w:rsidP="00DD43DE">
      <w:pPr>
        <w:pStyle w:val="isselectedend"/>
        <w:numPr>
          <w:ilvl w:val="0"/>
          <w:numId w:val="1"/>
        </w:numPr>
        <w:rPr>
          <w:rFonts w:ascii="Arial" w:hAnsi="Arial" w:cs="Arial"/>
          <w:sz w:val="28"/>
          <w:szCs w:val="28"/>
        </w:rPr>
      </w:pPr>
      <w:r w:rsidRPr="00DD43DE">
        <w:rPr>
          <w:rFonts w:ascii="Arial" w:hAnsi="Arial" w:cs="Arial"/>
          <w:sz w:val="28"/>
          <w:szCs w:val="28"/>
        </w:rPr>
        <w:t>Require democratic process: if any mandatory route is contemplated, it must be through primary legislation with a published impact assessment and consultation — not “guidance creep”.</w:t>
      </w:r>
    </w:p>
    <w:p w14:paraId="10FD9E00" w14:textId="77777777" w:rsidR="00DD43DE" w:rsidRPr="00DD43DE" w:rsidRDefault="00DD43DE" w:rsidP="00DD43DE">
      <w:pPr>
        <w:pStyle w:val="isselectedend"/>
        <w:rPr>
          <w:rFonts w:ascii="Arial" w:hAnsi="Arial" w:cs="Arial"/>
          <w:sz w:val="28"/>
          <w:szCs w:val="28"/>
        </w:rPr>
      </w:pPr>
      <w:r w:rsidRPr="00DD43DE">
        <w:rPr>
          <w:rFonts w:ascii="Arial" w:hAnsi="Arial" w:cs="Arial"/>
          <w:sz w:val="28"/>
          <w:szCs w:val="28"/>
        </w:rPr>
        <w:t>This is not a fringe issue. It is about whether Parliament still controls coercion — or whether coercion is outsourced to “voluntary” tools and administrative enforcement.</w:t>
      </w:r>
    </w:p>
    <w:p w14:paraId="6CA32204" w14:textId="77777777" w:rsidR="00DD43DE" w:rsidRDefault="00DD43DE" w:rsidP="00DD43DE">
      <w:pPr>
        <w:pStyle w:val="NormalWeb"/>
      </w:pPr>
      <w:r w:rsidRPr="00DD43DE">
        <w:rPr>
          <w:rFonts w:ascii="Arial" w:hAnsi="Arial" w:cs="Arial"/>
          <w:sz w:val="28"/>
          <w:szCs w:val="28"/>
        </w:rPr>
        <w:t>Yours faithfully</w:t>
      </w:r>
      <w:r>
        <w:t>,</w:t>
      </w:r>
    </w:p>
    <w:p w14:paraId="206284BD" w14:textId="77777777" w:rsidR="00902BB2" w:rsidRDefault="00902BB2"/>
    <w:p w14:paraId="0917C972" w14:textId="77777777" w:rsidR="00DD43DE" w:rsidRDefault="00DD43DE"/>
    <w:p w14:paraId="0863F0CB" w14:textId="77777777" w:rsidR="00DD43DE" w:rsidRDefault="00DD43DE"/>
    <w:sectPr w:rsidR="00DD43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884FE2"/>
    <w:multiLevelType w:val="multilevel"/>
    <w:tmpl w:val="D47C5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69283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3DE"/>
    <w:rsid w:val="001210D2"/>
    <w:rsid w:val="0032707F"/>
    <w:rsid w:val="003A1EAA"/>
    <w:rsid w:val="00584F30"/>
    <w:rsid w:val="00855C24"/>
    <w:rsid w:val="00902BB2"/>
    <w:rsid w:val="00DD43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C570F"/>
  <w15:chartTrackingRefBased/>
  <w15:docId w15:val="{58C6C823-C540-425D-8A30-02862E104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43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43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43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43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43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43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43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43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43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43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43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43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43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43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43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43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43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43DE"/>
    <w:rPr>
      <w:rFonts w:eastAsiaTheme="majorEastAsia" w:cstheme="majorBidi"/>
      <w:color w:val="272727" w:themeColor="text1" w:themeTint="D8"/>
    </w:rPr>
  </w:style>
  <w:style w:type="paragraph" w:styleId="Title">
    <w:name w:val="Title"/>
    <w:basedOn w:val="Normal"/>
    <w:next w:val="Normal"/>
    <w:link w:val="TitleChar"/>
    <w:uiPriority w:val="10"/>
    <w:qFormat/>
    <w:rsid w:val="00DD43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43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43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43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43DE"/>
    <w:pPr>
      <w:spacing w:before="160"/>
      <w:jc w:val="center"/>
    </w:pPr>
    <w:rPr>
      <w:i/>
      <w:iCs/>
      <w:color w:val="404040" w:themeColor="text1" w:themeTint="BF"/>
    </w:rPr>
  </w:style>
  <w:style w:type="character" w:customStyle="1" w:styleId="QuoteChar">
    <w:name w:val="Quote Char"/>
    <w:basedOn w:val="DefaultParagraphFont"/>
    <w:link w:val="Quote"/>
    <w:uiPriority w:val="29"/>
    <w:rsid w:val="00DD43DE"/>
    <w:rPr>
      <w:i/>
      <w:iCs/>
      <w:color w:val="404040" w:themeColor="text1" w:themeTint="BF"/>
    </w:rPr>
  </w:style>
  <w:style w:type="paragraph" w:styleId="ListParagraph">
    <w:name w:val="List Paragraph"/>
    <w:basedOn w:val="Normal"/>
    <w:uiPriority w:val="34"/>
    <w:qFormat/>
    <w:rsid w:val="00DD43DE"/>
    <w:pPr>
      <w:ind w:left="720"/>
      <w:contextualSpacing/>
    </w:pPr>
  </w:style>
  <w:style w:type="character" w:styleId="IntenseEmphasis">
    <w:name w:val="Intense Emphasis"/>
    <w:basedOn w:val="DefaultParagraphFont"/>
    <w:uiPriority w:val="21"/>
    <w:qFormat/>
    <w:rsid w:val="00DD43DE"/>
    <w:rPr>
      <w:i/>
      <w:iCs/>
      <w:color w:val="0F4761" w:themeColor="accent1" w:themeShade="BF"/>
    </w:rPr>
  </w:style>
  <w:style w:type="paragraph" w:styleId="IntenseQuote">
    <w:name w:val="Intense Quote"/>
    <w:basedOn w:val="Normal"/>
    <w:next w:val="Normal"/>
    <w:link w:val="IntenseQuoteChar"/>
    <w:uiPriority w:val="30"/>
    <w:qFormat/>
    <w:rsid w:val="00DD43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43DE"/>
    <w:rPr>
      <w:i/>
      <w:iCs/>
      <w:color w:val="0F4761" w:themeColor="accent1" w:themeShade="BF"/>
    </w:rPr>
  </w:style>
  <w:style w:type="character" w:styleId="IntenseReference">
    <w:name w:val="Intense Reference"/>
    <w:basedOn w:val="DefaultParagraphFont"/>
    <w:uiPriority w:val="32"/>
    <w:qFormat/>
    <w:rsid w:val="00DD43DE"/>
    <w:rPr>
      <w:b/>
      <w:bCs/>
      <w:smallCaps/>
      <w:color w:val="0F4761" w:themeColor="accent1" w:themeShade="BF"/>
      <w:spacing w:val="5"/>
    </w:rPr>
  </w:style>
  <w:style w:type="paragraph" w:customStyle="1" w:styleId="isselectedend">
    <w:name w:val="isselectedend"/>
    <w:basedOn w:val="Normal"/>
    <w:rsid w:val="00DD43D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text-token-text-primary">
    <w:name w:val="text-token-text-primary"/>
    <w:basedOn w:val="DefaultParagraphFont"/>
    <w:rsid w:val="00DD43DE"/>
  </w:style>
  <w:style w:type="character" w:styleId="Strong">
    <w:name w:val="Strong"/>
    <w:basedOn w:val="DefaultParagraphFont"/>
    <w:uiPriority w:val="22"/>
    <w:qFormat/>
    <w:rsid w:val="00DD43DE"/>
    <w:rPr>
      <w:b/>
      <w:bCs/>
    </w:rPr>
  </w:style>
  <w:style w:type="paragraph" w:styleId="NormalWeb">
    <w:name w:val="Normal (Web)"/>
    <w:basedOn w:val="Normal"/>
    <w:uiPriority w:val="99"/>
    <w:semiHidden/>
    <w:unhideWhenUsed/>
    <w:rsid w:val="00DD43D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425</Words>
  <Characters>2428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hunt</dc:creator>
  <cp:keywords/>
  <dc:description/>
  <cp:lastModifiedBy>magdalena hunt</cp:lastModifiedBy>
  <cp:revision>1</cp:revision>
  <dcterms:created xsi:type="dcterms:W3CDTF">2026-03-07T15:51:00Z</dcterms:created>
  <dcterms:modified xsi:type="dcterms:W3CDTF">2026-03-07T17:34:00Z</dcterms:modified>
</cp:coreProperties>
</file>